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EE2" w:rsidRDefault="00D54EE2" w:rsidP="00D54EE2">
      <w:pPr>
        <w:pStyle w:val="a3"/>
        <w:ind w:firstLine="5103"/>
        <w:rPr>
          <w:rFonts w:ascii="Arial" w:hAnsi="Arial" w:cs="Arial"/>
          <w:sz w:val="20"/>
          <w:szCs w:val="20"/>
        </w:rPr>
      </w:pPr>
      <w:r w:rsidRPr="00DE279B">
        <w:rPr>
          <w:rFonts w:ascii="Arial" w:hAnsi="Arial" w:cs="Arial"/>
          <w:sz w:val="20"/>
          <w:szCs w:val="20"/>
        </w:rPr>
        <w:t xml:space="preserve">Приложение № </w:t>
      </w:r>
      <w:r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Pr="00DE279B">
        <w:rPr>
          <w:rFonts w:ascii="Arial" w:hAnsi="Arial" w:cs="Arial"/>
          <w:sz w:val="20"/>
          <w:szCs w:val="20"/>
        </w:rPr>
        <w:t xml:space="preserve">к протоколу </w:t>
      </w:r>
    </w:p>
    <w:p w:rsidR="00D54EE2" w:rsidRPr="00DE279B" w:rsidRDefault="00D54EE2" w:rsidP="00D54EE2">
      <w:pPr>
        <w:pStyle w:val="a3"/>
        <w:ind w:firstLine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НТКА</w:t>
      </w:r>
      <w:r w:rsidRPr="00DE279B">
        <w:rPr>
          <w:rFonts w:ascii="Arial" w:hAnsi="Arial" w:cs="Arial"/>
          <w:sz w:val="20"/>
          <w:szCs w:val="20"/>
        </w:rPr>
        <w:t xml:space="preserve"> № </w:t>
      </w:r>
      <w:r>
        <w:rPr>
          <w:rFonts w:ascii="Arial" w:hAnsi="Arial" w:cs="Arial"/>
          <w:sz w:val="20"/>
          <w:szCs w:val="20"/>
        </w:rPr>
        <w:t>36</w:t>
      </w:r>
      <w:r w:rsidRPr="00DE279B">
        <w:rPr>
          <w:rFonts w:ascii="Arial" w:hAnsi="Arial" w:cs="Arial"/>
          <w:sz w:val="20"/>
          <w:szCs w:val="20"/>
        </w:rPr>
        <w:t>-201</w:t>
      </w:r>
      <w:r>
        <w:rPr>
          <w:rFonts w:ascii="Arial" w:hAnsi="Arial" w:cs="Arial"/>
          <w:sz w:val="20"/>
          <w:szCs w:val="20"/>
        </w:rPr>
        <w:t>5</w:t>
      </w:r>
    </w:p>
    <w:p w:rsidR="008E5759" w:rsidRDefault="008E5759" w:rsidP="00F26DA4">
      <w:pPr>
        <w:spacing w:before="360" w:after="60" w:line="240" w:lineRule="auto"/>
        <w:jc w:val="center"/>
        <w:rPr>
          <w:b/>
          <w:sz w:val="24"/>
          <w:szCs w:val="24"/>
        </w:rPr>
      </w:pPr>
    </w:p>
    <w:p w:rsidR="00F26DA4" w:rsidRPr="008E5759" w:rsidRDefault="00F26DA4" w:rsidP="00F26DA4">
      <w:pPr>
        <w:spacing w:before="360" w:after="60" w:line="240" w:lineRule="auto"/>
        <w:jc w:val="center"/>
        <w:rPr>
          <w:b/>
          <w:sz w:val="24"/>
          <w:szCs w:val="24"/>
        </w:rPr>
      </w:pPr>
      <w:r w:rsidRPr="008E5759">
        <w:rPr>
          <w:b/>
          <w:sz w:val="24"/>
          <w:szCs w:val="24"/>
        </w:rPr>
        <w:t>ПЛАН МЕРОПРИЯТИЙ</w:t>
      </w:r>
    </w:p>
    <w:p w:rsidR="00F26DA4" w:rsidRPr="008E5759" w:rsidRDefault="00F26DA4" w:rsidP="00F26DA4">
      <w:pPr>
        <w:spacing w:before="0" w:after="360" w:line="240" w:lineRule="auto"/>
        <w:jc w:val="center"/>
        <w:rPr>
          <w:b/>
          <w:sz w:val="24"/>
          <w:szCs w:val="24"/>
        </w:rPr>
      </w:pPr>
      <w:r w:rsidRPr="008E5759">
        <w:rPr>
          <w:b/>
          <w:sz w:val="24"/>
          <w:szCs w:val="24"/>
        </w:rPr>
        <w:t>по реализации третьего этапа (2016</w:t>
      </w:r>
      <w:r w:rsidRPr="008E5759">
        <w:rPr>
          <w:sz w:val="24"/>
          <w:szCs w:val="24"/>
        </w:rPr>
        <w:t>–</w:t>
      </w:r>
      <w:r w:rsidRPr="008E5759">
        <w:rPr>
          <w:b/>
          <w:sz w:val="24"/>
          <w:szCs w:val="24"/>
        </w:rPr>
        <w:t xml:space="preserve">2020 годы) Стратегии экономического развития </w:t>
      </w:r>
      <w:r w:rsidRPr="008E5759">
        <w:rPr>
          <w:b/>
          <w:sz w:val="24"/>
          <w:szCs w:val="24"/>
        </w:rPr>
        <w:br/>
        <w:t>Содружества Независимых Государств на период до 2020 года</w:t>
      </w:r>
    </w:p>
    <w:p w:rsidR="00F26DA4" w:rsidRPr="009C7726" w:rsidRDefault="00F26DA4" w:rsidP="009C7726">
      <w:pPr>
        <w:rPr>
          <w:sz w:val="24"/>
          <w:szCs w:val="24"/>
        </w:rPr>
      </w:pPr>
      <w:r w:rsidRPr="009C7726">
        <w:rPr>
          <w:sz w:val="24"/>
          <w:szCs w:val="24"/>
        </w:rPr>
        <w:t>1.3. Развитие межгосударственного торгово-экономического сотрудничества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28"/>
        <w:gridCol w:w="4253"/>
        <w:gridCol w:w="2395"/>
        <w:gridCol w:w="2395"/>
      </w:tblGrid>
      <w:tr w:rsidR="008E5759" w:rsidTr="008E5759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7726" w:rsidRPr="009C7726" w:rsidRDefault="009C7726">
            <w:pPr>
              <w:widowControl w:val="0"/>
              <w:spacing w:before="120" w:after="120" w:line="240" w:lineRule="exact"/>
              <w:ind w:left="-57" w:right="-57"/>
              <w:jc w:val="left"/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1.3.5.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7726" w:rsidRPr="009C7726" w:rsidRDefault="009C7726">
            <w:pPr>
              <w:spacing w:before="120" w:after="120" w:line="240" w:lineRule="exact"/>
              <w:ind w:right="-57"/>
              <w:jc w:val="left"/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Проведение конкурсов на соискание Премии Содружества Независимых Государств за достижения в области качества продукции и услуг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7726" w:rsidRPr="009C7726" w:rsidRDefault="009C7726" w:rsidP="008E5759">
            <w:pPr>
              <w:suppressAutoHyphens/>
              <w:spacing w:before="120" w:after="120" w:line="240" w:lineRule="exact"/>
              <w:ind w:left="-57" w:right="-57"/>
              <w:jc w:val="left"/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 раз в два года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7726" w:rsidRPr="009C7726" w:rsidRDefault="009C7726">
            <w:pPr>
              <w:spacing w:before="120" w:after="120" w:line="240" w:lineRule="exact"/>
              <w:jc w:val="left"/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9C7726" w:rsidTr="008E5759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7726" w:rsidRPr="008E5759" w:rsidRDefault="009C7726" w:rsidP="009C7726">
            <w:pPr>
              <w:rPr>
                <w:sz w:val="20"/>
                <w:szCs w:val="24"/>
              </w:rPr>
            </w:pPr>
            <w:bookmarkStart w:id="0" w:name="_Toc422988136"/>
            <w:r w:rsidRPr="008E5759">
              <w:rPr>
                <w:sz w:val="24"/>
                <w:szCs w:val="24"/>
              </w:rPr>
              <w:t>1.6. Сотрудничество в области технического регулирования</w:t>
            </w:r>
            <w:bookmarkEnd w:id="0"/>
            <w:r w:rsidRPr="008E5759">
              <w:rPr>
                <w:sz w:val="24"/>
                <w:szCs w:val="24"/>
              </w:rPr>
              <w:t xml:space="preserve"> 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spacing w:before="0" w:line="240" w:lineRule="auto"/>
              <w:ind w:left="-57" w:right="-57"/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1.6.1.</w:t>
            </w:r>
          </w:p>
        </w:tc>
        <w:tc>
          <w:tcPr>
            <w:tcW w:w="222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trike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Совершенствование системы межгосударственной</w:t>
            </w:r>
            <w:r w:rsidRPr="009C7726">
              <w:rPr>
                <w:b/>
                <w:sz w:val="16"/>
                <w:szCs w:val="16"/>
              </w:rPr>
              <w:t xml:space="preserve"> </w:t>
            </w:r>
            <w:r w:rsidRPr="009C7726">
              <w:rPr>
                <w:sz w:val="16"/>
                <w:szCs w:val="16"/>
              </w:rPr>
              <w:t>стандартизации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1.  Формирование, актуализация и реализация Программы работ по межгосударственной стандартизации.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2.  Разработка и реализация программ по межгосударственной стандартизации в приоритетных областях экономики, предусматривающих в том числе гармонизацию межгосударственных стандартов с международными и европейскими стандартами.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sz w:val="16"/>
                <w:szCs w:val="16"/>
                <w:highlight w:val="darkGray"/>
              </w:rPr>
            </w:pPr>
          </w:p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3.  Расширение практики применения межгосударственных стандартов, взаимосвязанных с техническими регламентами, в том числе с техническими регламентами других интеграционных объединений с участием государств – участников СНГ.  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trike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9C7726">
              <w:rPr>
                <w:rFonts w:eastAsia="Calibri"/>
                <w:sz w:val="16"/>
                <w:szCs w:val="16"/>
                <w:lang w:eastAsia="en-US"/>
              </w:rPr>
              <w:t>4.  </w:t>
            </w:r>
            <w:r w:rsidRPr="009C7726">
              <w:rPr>
                <w:sz w:val="16"/>
                <w:szCs w:val="16"/>
              </w:rPr>
              <w:t>Гармонизация нормативных документов в области пищевой безопасности на основе международных стандартов.</w:t>
            </w:r>
            <w:r w:rsidRPr="009C7726">
              <w:rPr>
                <w:rFonts w:eastAsia="Calibri"/>
                <w:b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9C7726">
              <w:rPr>
                <w:rFonts w:eastAsia="Calibri"/>
                <w:sz w:val="16"/>
                <w:szCs w:val="16"/>
                <w:lang w:eastAsia="en-US"/>
              </w:rPr>
              <w:t>2016</w:t>
            </w:r>
            <w:r w:rsidRPr="009C7726">
              <w:rPr>
                <w:sz w:val="16"/>
                <w:szCs w:val="16"/>
              </w:rPr>
              <w:t>–</w:t>
            </w:r>
            <w:r w:rsidRPr="009C7726">
              <w:rPr>
                <w:rFonts w:eastAsia="Calibri"/>
                <w:sz w:val="16"/>
                <w:szCs w:val="16"/>
                <w:lang w:eastAsia="en-US"/>
              </w:rPr>
              <w:t>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9C7726">
              <w:rPr>
                <w:sz w:val="16"/>
                <w:szCs w:val="16"/>
              </w:rPr>
              <w:t>Заинтересованные</w:t>
            </w:r>
            <w:r w:rsidRPr="009C7726">
              <w:rPr>
                <w:b/>
                <w:sz w:val="16"/>
                <w:szCs w:val="16"/>
              </w:rPr>
              <w:t xml:space="preserve"> </w:t>
            </w:r>
            <w:r w:rsidRPr="009C7726">
              <w:rPr>
                <w:rFonts w:eastAsia="Calibri"/>
                <w:sz w:val="16"/>
                <w:szCs w:val="16"/>
                <w:lang w:eastAsia="en-US"/>
              </w:rPr>
              <w:t>государства – участники СНГ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9C7726">
              <w:rPr>
                <w:rFonts w:eastAsia="Calibri"/>
                <w:sz w:val="16"/>
                <w:szCs w:val="16"/>
                <w:lang w:eastAsia="en-US"/>
              </w:rPr>
              <w:t>5.  Совершенствование системы подготовки специалистов в области технического регулирования в государствах – участниках СНГ.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9C7726">
              <w:rPr>
                <w:rFonts w:eastAsia="Calibri"/>
                <w:sz w:val="16"/>
                <w:szCs w:val="16"/>
                <w:lang w:eastAsia="en-US"/>
              </w:rPr>
              <w:t>2016</w:t>
            </w:r>
            <w:r w:rsidRPr="009C7726">
              <w:rPr>
                <w:sz w:val="16"/>
                <w:szCs w:val="16"/>
              </w:rPr>
              <w:t>–</w:t>
            </w:r>
            <w:r w:rsidRPr="009C7726">
              <w:rPr>
                <w:rFonts w:eastAsia="Calibri"/>
                <w:sz w:val="16"/>
                <w:szCs w:val="16"/>
                <w:lang w:eastAsia="en-US"/>
              </w:rPr>
              <w:t>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9C7726">
              <w:rPr>
                <w:rFonts w:eastAsia="Calibri"/>
                <w:sz w:val="16"/>
                <w:szCs w:val="16"/>
                <w:lang w:eastAsia="en-US"/>
              </w:rPr>
              <w:t>Государства – участники СНГ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9C7726">
              <w:rPr>
                <w:rFonts w:eastAsia="Calibri"/>
                <w:sz w:val="16"/>
                <w:szCs w:val="16"/>
                <w:lang w:eastAsia="en-US"/>
              </w:rPr>
              <w:t>6.  Совершенствование работы по внедрению информационных технологий в области технического регулирования.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9C7726">
              <w:rPr>
                <w:rFonts w:eastAsia="Calibri"/>
                <w:sz w:val="16"/>
                <w:szCs w:val="16"/>
                <w:lang w:eastAsia="en-US"/>
              </w:rPr>
              <w:t>2016</w:t>
            </w:r>
            <w:r w:rsidRPr="009C7726">
              <w:rPr>
                <w:sz w:val="16"/>
                <w:szCs w:val="16"/>
              </w:rPr>
              <w:t>–</w:t>
            </w:r>
            <w:r w:rsidRPr="009C7726">
              <w:rPr>
                <w:rFonts w:eastAsia="Calibri"/>
                <w:sz w:val="16"/>
                <w:szCs w:val="16"/>
                <w:lang w:eastAsia="en-US"/>
              </w:rPr>
              <w:t>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9C7726">
              <w:rPr>
                <w:rFonts w:eastAsia="Calibri"/>
                <w:sz w:val="16"/>
                <w:szCs w:val="16"/>
                <w:lang w:eastAsia="en-US"/>
              </w:rPr>
              <w:t>Государства – участники СНГ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7.  Проведение работ по совершенствованию структуры МГС, в том числе подготовка и подписание Протокола о внесении соответствующих изменений в Соглашение о проведении согласованной политики в области стандартизации, метрологии и сертификации от 13 марта 1992 года.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Государства – участники МГС, </w:t>
            </w:r>
          </w:p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органы по стандартизации государств – участников МГС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8.  Совершенствование процесса разработки межгосударственных стандартов, в том числе усиление роли межгосударственных технических комитетов по стандартизации (МТК) МГС в планировании и разработке стандартов, привлечение промышленности и бизнеса к работе в МТК.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 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Государства – участники СНГ, </w:t>
            </w:r>
          </w:p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органы по стандартизации государств – участников МГС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9.  Создание информационной системы «Межгосударственный каталог продукции» государств – участников СНГ и ее развитие.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10. Создание и обеспечение функционирования Системы информационного обеспечения МГС.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Государства – участники СНГ, МГС 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11. Осуществление сотрудничества с Евразийской экономической комиссией (ЕЭК) в рамках Меморандума о сотрудничестве между МГС и ЕЭК в области стандартизации и обеспечения единства измерений.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Заинтересованные государства – участники СНГ,</w:t>
            </w:r>
            <w:r w:rsidRPr="009C7726">
              <w:rPr>
                <w:b/>
                <w:sz w:val="16"/>
                <w:szCs w:val="16"/>
              </w:rPr>
              <w:t xml:space="preserve"> </w:t>
            </w:r>
            <w:r w:rsidRPr="009C7726">
              <w:rPr>
                <w:sz w:val="16"/>
                <w:szCs w:val="16"/>
              </w:rPr>
              <w:t xml:space="preserve">ЕЭК, МГС     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12.  Развитие национальных информационных центров по оперативному обеспечению заинтересованных структур информацией о технических регламентах, стандартах, нормах и правилах 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9E8EFB" wp14:editId="0EE0133F">
                      <wp:simplePos x="0" y="0"/>
                      <wp:positionH relativeFrom="column">
                        <wp:posOffset>2730500</wp:posOffset>
                      </wp:positionH>
                      <wp:positionV relativeFrom="paragraph">
                        <wp:posOffset>880110</wp:posOffset>
                      </wp:positionV>
                      <wp:extent cx="0" cy="635"/>
                      <wp:effectExtent l="6350" t="13335" r="12700" b="508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215pt;margin-top:69.3pt;width:0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"/>
                  </w:pict>
                </mc:Fallback>
              </mc:AlternateContent>
            </w:r>
            <w:r w:rsidRPr="009C7726">
              <w:rPr>
                <w:sz w:val="16"/>
                <w:szCs w:val="16"/>
              </w:rPr>
              <w:t>Государства – участники СНГ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spacing w:line="240" w:lineRule="auto"/>
              <w:ind w:left="-57" w:right="-57"/>
              <w:rPr>
                <w:b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1.6.2.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Обеспечение единства измерений на межгосударственном уровне 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1.  Реализация Соглашения о взаимном признании результатов испытаний с целью утверждения типа, метрологической аттестации, поверки и калибровки средств измерений от 29 мая 2015 года.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pacing w:val="-4"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2.  Актуализация и реализация Программы создания и применения межгосударственных стандартных образцов состава и свойств веществ и материалов.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3.  Актуализация и реализация Программы разработок аттестованных данных о физических константах и свойствах веществ и материалов.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4.  Совершенствование нормативно-правовой базы в сфере обеспечении единства измерений 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2017–2019 гг.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МГС, МПА СНГ</w:t>
            </w:r>
          </w:p>
          <w:p w:rsidR="009C7726" w:rsidRPr="009C7726" w:rsidRDefault="009C7726" w:rsidP="009C7726">
            <w:pPr>
              <w:rPr>
                <w:sz w:val="16"/>
                <w:szCs w:val="16"/>
              </w:rPr>
            </w:pP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spacing w:line="240" w:lineRule="auto"/>
              <w:ind w:left="-57" w:right="-57"/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1.6.3.</w:t>
            </w:r>
          </w:p>
        </w:tc>
        <w:tc>
          <w:tcPr>
            <w:tcW w:w="222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Аккредитация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i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1.  Проработка вопросов, связанных с созданием Региональной ассоциации органов по аккредитации, включая проект Положения о ней.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2016–2018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Заинтересованные</w:t>
            </w:r>
            <w:r w:rsidRPr="009C7726">
              <w:rPr>
                <w:b/>
                <w:sz w:val="16"/>
                <w:szCs w:val="16"/>
              </w:rPr>
              <w:t xml:space="preserve"> </w:t>
            </w:r>
            <w:r w:rsidRPr="009C7726">
              <w:rPr>
                <w:sz w:val="16"/>
                <w:szCs w:val="16"/>
              </w:rPr>
              <w:t xml:space="preserve">государства – участники СНГ, МГС      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2.  </w:t>
            </w:r>
            <w:r w:rsidRPr="009C7726">
              <w:rPr>
                <w:sz w:val="16"/>
                <w:szCs w:val="16"/>
                <w:lang w:val="kk-KZ"/>
              </w:rPr>
              <w:t xml:space="preserve">Согласование и утверждение порядка осуществления взаимных сравнительных оценок, </w:t>
            </w:r>
            <w:r w:rsidRPr="009C7726">
              <w:rPr>
                <w:sz w:val="16"/>
                <w:szCs w:val="16"/>
              </w:rPr>
              <w:t>утверждение перспективного (трехлетнего) плана осуществления взаимных сравнительных оценок.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2018–2020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3.  </w:t>
            </w:r>
            <w:r w:rsidRPr="009C7726">
              <w:rPr>
                <w:sz w:val="16"/>
                <w:szCs w:val="16"/>
                <w:lang w:val="kk-KZ"/>
              </w:rPr>
              <w:t xml:space="preserve">Обмен информацией по вопросам аккредитации между государствами </w:t>
            </w:r>
            <w:r w:rsidRPr="009C7726">
              <w:rPr>
                <w:sz w:val="16"/>
                <w:szCs w:val="16"/>
              </w:rPr>
              <w:t>–</w:t>
            </w:r>
            <w:r w:rsidRPr="009C7726">
              <w:rPr>
                <w:sz w:val="16"/>
                <w:szCs w:val="16"/>
                <w:lang w:val="kk-KZ"/>
              </w:rPr>
              <w:t xml:space="preserve"> участниками СНГ, сотрудничество в сфере организации</w:t>
            </w:r>
            <w:r w:rsidRPr="009C7726">
              <w:rPr>
                <w:sz w:val="16"/>
                <w:szCs w:val="16"/>
              </w:rPr>
              <w:t xml:space="preserve"> дополнительного профессионального образования</w:t>
            </w:r>
            <w:r w:rsidRPr="009C7726">
              <w:rPr>
                <w:sz w:val="16"/>
                <w:szCs w:val="16"/>
                <w:lang w:val="kk-KZ"/>
              </w:rPr>
              <w:t xml:space="preserve"> оценщиков и технических экспертов.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Государства – участники СНГ, МГС  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rFonts w:eastAsia="Calibri"/>
                <w:sz w:val="16"/>
                <w:szCs w:val="16"/>
                <w:lang w:eastAsia="en-US"/>
              </w:rPr>
              <w:t xml:space="preserve">4.  Подготовка и подписание Соглашения </w:t>
            </w:r>
            <w:r w:rsidRPr="009C7726">
              <w:rPr>
                <w:sz w:val="16"/>
                <w:szCs w:val="16"/>
              </w:rPr>
              <w:t>о взаимном признании аккредитации органов по оценке (подтверждению) соответствия.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2018 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Заинтересованные</w:t>
            </w:r>
            <w:r w:rsidRPr="009C7726">
              <w:rPr>
                <w:b/>
                <w:sz w:val="16"/>
                <w:szCs w:val="16"/>
              </w:rPr>
              <w:t xml:space="preserve"> </w:t>
            </w:r>
            <w:r w:rsidRPr="009C7726">
              <w:rPr>
                <w:sz w:val="16"/>
                <w:szCs w:val="16"/>
              </w:rPr>
              <w:t xml:space="preserve">государства – участники СНГ, МГС, </w:t>
            </w:r>
          </w:p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Исполком СНГ       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5.  Пересмотр межгосударственных стандартов, гармонизированных с международными стандартами </w:t>
            </w:r>
            <w:r w:rsidRPr="009C7726">
              <w:rPr>
                <w:sz w:val="16"/>
                <w:szCs w:val="16"/>
                <w:lang w:val="en-US"/>
              </w:rPr>
              <w:t>ISO</w:t>
            </w:r>
            <w:r w:rsidRPr="009C7726">
              <w:rPr>
                <w:sz w:val="16"/>
                <w:szCs w:val="16"/>
              </w:rPr>
              <w:t>/</w:t>
            </w:r>
            <w:r w:rsidRPr="009C7726">
              <w:rPr>
                <w:sz w:val="16"/>
                <w:szCs w:val="16"/>
                <w:lang w:val="en-US"/>
              </w:rPr>
              <w:t>IEC</w:t>
            </w:r>
            <w:r w:rsidRPr="009C7726">
              <w:rPr>
                <w:sz w:val="16"/>
                <w:szCs w:val="16"/>
              </w:rPr>
              <w:t xml:space="preserve"> серии 17 000, по мере изменения международных стандартов.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strike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  <w:p w:rsidR="009C7726" w:rsidRPr="009C7726" w:rsidRDefault="009C7726" w:rsidP="009C7726">
            <w:pPr>
              <w:rPr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Заинтересованные государства – участники СНГ, МГС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6.  Проведение работ по аккредитации по требованиям международных стандартов, принятых в качестве межгосударственных.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strike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7.  Проведение обучения и стажировок специалистов для выработки  единого подхода по аккредитации органов оценки соответствия в соответствии с международными стандартами. 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8</w:t>
            </w:r>
            <w:r w:rsidRPr="009C7726">
              <w:rPr>
                <w:b/>
                <w:sz w:val="16"/>
                <w:szCs w:val="16"/>
              </w:rPr>
              <w:t>.</w:t>
            </w:r>
            <w:r w:rsidRPr="009C7726">
              <w:rPr>
                <w:sz w:val="16"/>
                <w:szCs w:val="16"/>
              </w:rPr>
              <w:t xml:space="preserve">  Обмен опытом в области аккредитации органов оценки соответствия по новым направлениям: медицинские лаборатории, судебно-экспертные организации, провайдеры программ профтестирования, провайдеры межлабораторных сличительных испытаний, органы контроля (инспекции), органы по сертификации системы менеджмента безопасности пищевых продуктов, социальных услуг и др.   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9.  Организация и проведение межлабораторных сличительных испытаний (профтестирование) для поддержки аккредитации лабораторий и органов контроля (инспекций) с решением вопросов признания провайдеров программ профтестирования 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2016–2020 гг.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spacing w:line="240" w:lineRule="auto"/>
              <w:ind w:left="-57" w:right="-57"/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1.6.4.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trike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Совершенствование системы оценки (подтверждения) соответствия 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i/>
                <w:strike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i/>
                <w:strike/>
                <w:sz w:val="16"/>
                <w:szCs w:val="16"/>
              </w:rPr>
            </w:pP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 xml:space="preserve">1. Разработка предложений по устранению технических барьеров во взаимной торговле государств – участников СНГ. 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b/>
                <w:strike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2016–2017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  <w:tr w:rsidR="009C7726" w:rsidRPr="009C7726" w:rsidTr="008E5759">
        <w:trPr>
          <w:cantSplit/>
        </w:trPr>
        <w:tc>
          <w:tcPr>
            <w:tcW w:w="27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726" w:rsidRPr="009C7726" w:rsidRDefault="009C7726" w:rsidP="009C7726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22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2. Подготовка предложений по взаимному признанию сертификатов профессиональной компетентности персонала в выполнении определенных работ и услуг</w:t>
            </w:r>
          </w:p>
        </w:tc>
        <w:tc>
          <w:tcPr>
            <w:tcW w:w="125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trike/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2016–2017 гг.</w:t>
            </w:r>
          </w:p>
        </w:tc>
        <w:tc>
          <w:tcPr>
            <w:tcW w:w="1250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C7726" w:rsidRPr="009C7726" w:rsidRDefault="009C7726" w:rsidP="009C7726">
            <w:pPr>
              <w:rPr>
                <w:sz w:val="16"/>
                <w:szCs w:val="16"/>
              </w:rPr>
            </w:pPr>
            <w:r w:rsidRPr="009C7726">
              <w:rPr>
                <w:sz w:val="16"/>
                <w:szCs w:val="16"/>
              </w:rPr>
              <w:t>Государства – участники СНГ, МГС</w:t>
            </w:r>
          </w:p>
        </w:tc>
      </w:tr>
    </w:tbl>
    <w:p w:rsidR="008C0680" w:rsidRPr="009C7726" w:rsidRDefault="008C0680" w:rsidP="009C7726">
      <w:pPr>
        <w:rPr>
          <w:sz w:val="16"/>
          <w:szCs w:val="16"/>
        </w:rPr>
      </w:pPr>
    </w:p>
    <w:sectPr w:rsidR="008C0680" w:rsidRPr="009C77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05C" w:rsidRDefault="0009105C" w:rsidP="00D54EE2">
      <w:pPr>
        <w:spacing w:before="0" w:line="240" w:lineRule="auto"/>
      </w:pPr>
      <w:r>
        <w:separator/>
      </w:r>
    </w:p>
  </w:endnote>
  <w:endnote w:type="continuationSeparator" w:id="0">
    <w:p w:rsidR="0009105C" w:rsidRDefault="0009105C" w:rsidP="00D54EE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EE2" w:rsidRDefault="00D54EE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A1D" w:rsidRPr="00DE279B" w:rsidRDefault="00C11A1D" w:rsidP="00C11A1D">
    <w:pPr>
      <w:pStyle w:val="a3"/>
      <w:rPr>
        <w:rFonts w:ascii="Arial" w:hAnsi="Arial" w:cs="Arial"/>
        <w:sz w:val="20"/>
        <w:szCs w:val="20"/>
      </w:rPr>
    </w:pPr>
    <w:r w:rsidRPr="00DE279B">
      <w:rPr>
        <w:rFonts w:ascii="Arial" w:hAnsi="Arial" w:cs="Arial"/>
        <w:sz w:val="20"/>
        <w:szCs w:val="20"/>
      </w:rPr>
      <w:t xml:space="preserve">Приложение № </w:t>
    </w:r>
    <w:r>
      <w:rPr>
        <w:rFonts w:ascii="Arial" w:hAnsi="Arial" w:cs="Arial"/>
        <w:sz w:val="20"/>
        <w:szCs w:val="20"/>
      </w:rPr>
      <w:t>7</w:t>
    </w:r>
    <w:bookmarkStart w:id="1" w:name="_GoBack"/>
    <w:bookmarkEnd w:id="1"/>
    <w:r>
      <w:rPr>
        <w:rFonts w:ascii="Arial" w:hAnsi="Arial" w:cs="Arial"/>
        <w:sz w:val="20"/>
        <w:szCs w:val="20"/>
      </w:rPr>
      <w:t xml:space="preserve"> </w:t>
    </w:r>
    <w:r w:rsidRPr="00DE279B">
      <w:rPr>
        <w:rFonts w:ascii="Arial" w:hAnsi="Arial" w:cs="Arial"/>
        <w:sz w:val="20"/>
        <w:szCs w:val="20"/>
      </w:rPr>
      <w:t xml:space="preserve">к протоколу </w:t>
    </w:r>
    <w:r>
      <w:rPr>
        <w:rFonts w:ascii="Arial" w:hAnsi="Arial" w:cs="Arial"/>
        <w:sz w:val="20"/>
        <w:szCs w:val="20"/>
      </w:rPr>
      <w:t>НТКА</w:t>
    </w:r>
    <w:r w:rsidRPr="00DE279B">
      <w:rPr>
        <w:rFonts w:ascii="Arial" w:hAnsi="Arial" w:cs="Arial"/>
        <w:sz w:val="20"/>
        <w:szCs w:val="20"/>
      </w:rPr>
      <w:t xml:space="preserve"> № </w:t>
    </w:r>
    <w:r>
      <w:rPr>
        <w:rFonts w:ascii="Arial" w:hAnsi="Arial" w:cs="Arial"/>
        <w:sz w:val="20"/>
        <w:szCs w:val="20"/>
      </w:rPr>
      <w:t>36</w:t>
    </w:r>
    <w:r w:rsidRPr="00DE279B">
      <w:rPr>
        <w:rFonts w:ascii="Arial" w:hAnsi="Arial" w:cs="Arial"/>
        <w:sz w:val="20"/>
        <w:szCs w:val="20"/>
      </w:rPr>
      <w:t>-201</w:t>
    </w:r>
    <w:r>
      <w:rPr>
        <w:rFonts w:ascii="Arial" w:hAnsi="Arial" w:cs="Arial"/>
        <w:sz w:val="20"/>
        <w:szCs w:val="20"/>
      </w:rPr>
      <w:t>5</w:t>
    </w:r>
  </w:p>
  <w:p w:rsidR="00D54EE2" w:rsidRDefault="00D54EE2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EE2" w:rsidRDefault="00D54EE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05C" w:rsidRDefault="0009105C" w:rsidP="00D54EE2">
      <w:pPr>
        <w:spacing w:before="0" w:line="240" w:lineRule="auto"/>
      </w:pPr>
      <w:r>
        <w:separator/>
      </w:r>
    </w:p>
  </w:footnote>
  <w:footnote w:type="continuationSeparator" w:id="0">
    <w:p w:rsidR="0009105C" w:rsidRDefault="0009105C" w:rsidP="00D54EE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EE2" w:rsidRDefault="00D54EE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EE2" w:rsidRDefault="00D54EE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EE2" w:rsidRDefault="00D54EE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415"/>
    <w:rsid w:val="0009105C"/>
    <w:rsid w:val="004D2415"/>
    <w:rsid w:val="00520186"/>
    <w:rsid w:val="008C0680"/>
    <w:rsid w:val="008E5759"/>
    <w:rsid w:val="009C7726"/>
    <w:rsid w:val="00C11A1D"/>
    <w:rsid w:val="00D54EE2"/>
    <w:rsid w:val="00F2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DA4"/>
    <w:pPr>
      <w:overflowPunct w:val="0"/>
      <w:autoSpaceDE w:val="0"/>
      <w:autoSpaceDN w:val="0"/>
      <w:adjustRightInd w:val="0"/>
      <w:spacing w:before="60" w:after="0" w:line="216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autoRedefine/>
    <w:unhideWhenUsed/>
    <w:qFormat/>
    <w:rsid w:val="00F26DA4"/>
    <w:pPr>
      <w:keepNext/>
      <w:spacing w:before="240" w:after="240" w:line="240" w:lineRule="exact"/>
      <w:jc w:val="center"/>
      <w:outlineLvl w:val="1"/>
    </w:pPr>
    <w:rPr>
      <w:b/>
      <w:bCs/>
      <w:i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26DA4"/>
    <w:rPr>
      <w:rFonts w:ascii="Times New Roman" w:eastAsia="Times New Roman" w:hAnsi="Times New Roman" w:cs="Times New Roman"/>
      <w:b/>
      <w:bCs/>
      <w:iCs/>
      <w:sz w:val="24"/>
      <w:szCs w:val="28"/>
      <w:lang w:eastAsia="ru-RU"/>
    </w:rPr>
  </w:style>
  <w:style w:type="paragraph" w:customStyle="1" w:styleId="table10">
    <w:name w:val="table10"/>
    <w:basedOn w:val="a"/>
    <w:rsid w:val="009C7726"/>
    <w:pPr>
      <w:overflowPunct/>
      <w:autoSpaceDE/>
      <w:autoSpaceDN/>
      <w:adjustRightInd/>
      <w:spacing w:before="0" w:line="240" w:lineRule="auto"/>
      <w:jc w:val="left"/>
    </w:pPr>
    <w:rPr>
      <w:sz w:val="20"/>
    </w:rPr>
  </w:style>
  <w:style w:type="paragraph" w:styleId="a3">
    <w:name w:val="footer"/>
    <w:basedOn w:val="a"/>
    <w:link w:val="a4"/>
    <w:rsid w:val="00D54EE2"/>
    <w:pPr>
      <w:tabs>
        <w:tab w:val="center" w:pos="4677"/>
        <w:tab w:val="right" w:pos="9355"/>
      </w:tabs>
      <w:overflowPunct/>
      <w:autoSpaceDE/>
      <w:autoSpaceDN/>
      <w:adjustRightInd/>
      <w:spacing w:before="0" w:line="240" w:lineRule="auto"/>
      <w:jc w:val="left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D54E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54EE2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4EE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DA4"/>
    <w:pPr>
      <w:overflowPunct w:val="0"/>
      <w:autoSpaceDE w:val="0"/>
      <w:autoSpaceDN w:val="0"/>
      <w:adjustRightInd w:val="0"/>
      <w:spacing w:before="60" w:after="0" w:line="216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autoRedefine/>
    <w:unhideWhenUsed/>
    <w:qFormat/>
    <w:rsid w:val="00F26DA4"/>
    <w:pPr>
      <w:keepNext/>
      <w:spacing w:before="240" w:after="240" w:line="240" w:lineRule="exact"/>
      <w:jc w:val="center"/>
      <w:outlineLvl w:val="1"/>
    </w:pPr>
    <w:rPr>
      <w:b/>
      <w:bCs/>
      <w:i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26DA4"/>
    <w:rPr>
      <w:rFonts w:ascii="Times New Roman" w:eastAsia="Times New Roman" w:hAnsi="Times New Roman" w:cs="Times New Roman"/>
      <w:b/>
      <w:bCs/>
      <w:iCs/>
      <w:sz w:val="24"/>
      <w:szCs w:val="28"/>
      <w:lang w:eastAsia="ru-RU"/>
    </w:rPr>
  </w:style>
  <w:style w:type="paragraph" w:customStyle="1" w:styleId="table10">
    <w:name w:val="table10"/>
    <w:basedOn w:val="a"/>
    <w:rsid w:val="009C7726"/>
    <w:pPr>
      <w:overflowPunct/>
      <w:autoSpaceDE/>
      <w:autoSpaceDN/>
      <w:adjustRightInd/>
      <w:spacing w:before="0" w:line="240" w:lineRule="auto"/>
      <w:jc w:val="left"/>
    </w:pPr>
    <w:rPr>
      <w:sz w:val="20"/>
    </w:rPr>
  </w:style>
  <w:style w:type="paragraph" w:styleId="a3">
    <w:name w:val="footer"/>
    <w:basedOn w:val="a"/>
    <w:link w:val="a4"/>
    <w:rsid w:val="00D54EE2"/>
    <w:pPr>
      <w:tabs>
        <w:tab w:val="center" w:pos="4677"/>
        <w:tab w:val="right" w:pos="9355"/>
      </w:tabs>
      <w:overflowPunct/>
      <w:autoSpaceDE/>
      <w:autoSpaceDN/>
      <w:adjustRightInd/>
      <w:spacing w:before="0" w:line="240" w:lineRule="auto"/>
      <w:jc w:val="left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D54E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54EE2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4EE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7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client801_5</cp:lastModifiedBy>
  <cp:revision>5</cp:revision>
  <dcterms:created xsi:type="dcterms:W3CDTF">2015-09-16T06:40:00Z</dcterms:created>
  <dcterms:modified xsi:type="dcterms:W3CDTF">2015-10-13T09:36:00Z</dcterms:modified>
</cp:coreProperties>
</file>